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D99" w:rsidRPr="003F5DEC" w:rsidRDefault="00FF050F" w:rsidP="003F5DEC">
      <w:pPr>
        <w:pStyle w:val="NoSpacing"/>
        <w:rPr>
          <w:rFonts w:asciiTheme="majorHAnsi" w:hAnsiTheme="majorHAnsi"/>
          <w:b/>
          <w:bCs/>
          <w:sz w:val="30"/>
          <w:szCs w:val="30"/>
          <w:u w:val="single"/>
        </w:rPr>
      </w:pPr>
      <w:r w:rsidRPr="003F5DEC">
        <w:rPr>
          <w:rFonts w:asciiTheme="majorHAnsi" w:hAnsiTheme="majorHAnsi"/>
          <w:b/>
          <w:bCs/>
          <w:sz w:val="30"/>
          <w:szCs w:val="30"/>
          <w:u w:val="single"/>
        </w:rPr>
        <w:t xml:space="preserve">Details of publications </w:t>
      </w:r>
    </w:p>
    <w:p w:rsidR="00C07D99" w:rsidRPr="003F5DEC" w:rsidRDefault="00C07D99" w:rsidP="003F5DEC">
      <w:pPr>
        <w:pStyle w:val="NoSpacing"/>
        <w:rPr>
          <w:rFonts w:asciiTheme="majorHAnsi" w:hAnsiTheme="majorHAnsi"/>
          <w:sz w:val="12"/>
          <w:szCs w:val="12"/>
        </w:rPr>
      </w:pPr>
    </w:p>
    <w:tbl>
      <w:tblPr>
        <w:tblStyle w:val="TableGrid"/>
        <w:tblW w:w="5494" w:type="pct"/>
        <w:tblInd w:w="-792" w:type="dxa"/>
        <w:tblLayout w:type="fixed"/>
        <w:tblLook w:val="04A0"/>
      </w:tblPr>
      <w:tblGrid>
        <w:gridCol w:w="720"/>
        <w:gridCol w:w="2161"/>
        <w:gridCol w:w="7470"/>
        <w:gridCol w:w="1348"/>
        <w:gridCol w:w="1442"/>
        <w:gridCol w:w="1510"/>
        <w:gridCol w:w="919"/>
      </w:tblGrid>
      <w:tr w:rsidR="003F5DEC" w:rsidRPr="00AB7B93" w:rsidTr="003F5DEC">
        <w:trPr>
          <w:trHeight w:val="863"/>
        </w:trPr>
        <w:tc>
          <w:tcPr>
            <w:tcW w:w="231" w:type="pct"/>
            <w:vAlign w:val="center"/>
          </w:tcPr>
          <w:p w:rsidR="00594B0D" w:rsidRPr="00AB7B93" w:rsidRDefault="00594B0D" w:rsidP="00AB7B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694" w:type="pct"/>
            <w:vAlign w:val="center"/>
          </w:tcPr>
          <w:p w:rsidR="00594B0D" w:rsidRPr="00AB7B93" w:rsidRDefault="00594B0D" w:rsidP="00AB7B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/>
                <w:sz w:val="24"/>
                <w:szCs w:val="24"/>
              </w:rPr>
              <w:t>Faculty name &amp; Designation</w:t>
            </w:r>
          </w:p>
        </w:tc>
        <w:tc>
          <w:tcPr>
            <w:tcW w:w="2399" w:type="pct"/>
            <w:vAlign w:val="center"/>
          </w:tcPr>
          <w:p w:rsidR="00594B0D" w:rsidRPr="00AB7B93" w:rsidRDefault="00594B0D" w:rsidP="00AB7B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/>
                <w:sz w:val="24"/>
                <w:szCs w:val="24"/>
              </w:rPr>
              <w:t>Title of the article with Author &amp; Name of the Journal</w:t>
            </w:r>
          </w:p>
        </w:tc>
        <w:tc>
          <w:tcPr>
            <w:tcW w:w="433" w:type="pct"/>
            <w:vAlign w:val="center"/>
          </w:tcPr>
          <w:p w:rsidR="00594B0D" w:rsidRPr="00AB7B93" w:rsidRDefault="00594B0D" w:rsidP="00AB7B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/>
                <w:sz w:val="24"/>
                <w:szCs w:val="24"/>
              </w:rPr>
              <w:t>Category I/II</w:t>
            </w:r>
          </w:p>
        </w:tc>
        <w:tc>
          <w:tcPr>
            <w:tcW w:w="463" w:type="pct"/>
            <w:vAlign w:val="center"/>
          </w:tcPr>
          <w:p w:rsidR="00594B0D" w:rsidRPr="00AB7B93" w:rsidRDefault="00594B0D" w:rsidP="00AB7B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/>
                <w:sz w:val="24"/>
                <w:szCs w:val="24"/>
              </w:rPr>
              <w:t>Authorship (1/2/3etc)</w:t>
            </w:r>
          </w:p>
        </w:tc>
        <w:tc>
          <w:tcPr>
            <w:tcW w:w="485" w:type="pct"/>
            <w:vAlign w:val="center"/>
          </w:tcPr>
          <w:p w:rsidR="00594B0D" w:rsidRPr="00AB7B93" w:rsidRDefault="00594B0D" w:rsidP="00AB7B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/>
                <w:sz w:val="24"/>
                <w:szCs w:val="24"/>
              </w:rPr>
              <w:t>Year of publication</w:t>
            </w:r>
          </w:p>
        </w:tc>
        <w:tc>
          <w:tcPr>
            <w:tcW w:w="295" w:type="pct"/>
            <w:vAlign w:val="center"/>
          </w:tcPr>
          <w:p w:rsidR="00594B0D" w:rsidRPr="00AB7B93" w:rsidRDefault="00594B0D" w:rsidP="00AB7B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</w:tc>
      </w:tr>
      <w:tr w:rsidR="003F5DEC" w:rsidRPr="00AB7B93" w:rsidTr="001F551F">
        <w:trPr>
          <w:trHeight w:val="791"/>
        </w:trPr>
        <w:tc>
          <w:tcPr>
            <w:tcW w:w="231" w:type="pct"/>
            <w:vMerge w:val="restart"/>
          </w:tcPr>
          <w:p w:rsidR="003F5DEC" w:rsidRPr="00AB7B93" w:rsidRDefault="009C7202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" w:type="pct"/>
            <w:vMerge w:val="restart"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Dr. Vasanthi. D., Reader</w:t>
            </w:r>
          </w:p>
        </w:tc>
        <w:tc>
          <w:tcPr>
            <w:tcW w:w="2399" w:type="pct"/>
            <w:vAlign w:val="center"/>
          </w:tcPr>
          <w:p w:rsidR="006A3CA4" w:rsidRPr="00AB7B93" w:rsidRDefault="006A3CA4" w:rsidP="00AB7B93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8F8"/>
              </w:rPr>
              <w:t>A Comparison of the Effectiveness of Oral Midazolam–N2O Versus Oral Ketamine–N2O in Pediatric Patients-An in–Vivo Study. Journal of clinical and diagnostic research: JCDR. 2016 Apr;10(4):ZC45.</w:t>
            </w:r>
          </w:p>
        </w:tc>
        <w:tc>
          <w:tcPr>
            <w:tcW w:w="433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463" w:type="pct"/>
            <w:vAlign w:val="center"/>
          </w:tcPr>
          <w:p w:rsidR="003F5DEC" w:rsidRPr="00AB7B93" w:rsidRDefault="00344F9D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Pr="00344F9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2016</w:t>
            </w:r>
          </w:p>
        </w:tc>
        <w:tc>
          <w:tcPr>
            <w:tcW w:w="29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5DEC" w:rsidRPr="00AB7B93" w:rsidTr="001F551F">
        <w:trPr>
          <w:trHeight w:val="791"/>
        </w:trPr>
        <w:tc>
          <w:tcPr>
            <w:tcW w:w="231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pct"/>
            <w:vAlign w:val="center"/>
          </w:tcPr>
          <w:p w:rsidR="003F5DEC" w:rsidRPr="00AB7B93" w:rsidRDefault="006A3CA4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8F8"/>
              </w:rPr>
              <w:t>Oral hygiene levels in children of tribal population of Eastern Ghats: An epidemiological study. Journal of international oral health: JIOH. 2015 Jul;7(7):108.</w:t>
            </w:r>
          </w:p>
        </w:tc>
        <w:tc>
          <w:tcPr>
            <w:tcW w:w="433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463" w:type="pct"/>
            <w:vAlign w:val="center"/>
          </w:tcPr>
          <w:p w:rsidR="003F5DEC" w:rsidRPr="00AB7B93" w:rsidRDefault="00344F9D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Pr="00344F9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2015</w:t>
            </w:r>
          </w:p>
        </w:tc>
        <w:tc>
          <w:tcPr>
            <w:tcW w:w="29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5DEC" w:rsidRPr="00AB7B93" w:rsidTr="001F551F">
        <w:trPr>
          <w:trHeight w:val="791"/>
        </w:trPr>
        <w:tc>
          <w:tcPr>
            <w:tcW w:w="231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pct"/>
            <w:vAlign w:val="center"/>
          </w:tcPr>
          <w:p w:rsidR="003F5DEC" w:rsidRPr="00AB7B93" w:rsidRDefault="006A3CA4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8F8"/>
              </w:rPr>
              <w:t>Comparative evaluation of sterilization efficacy using two methods of sterilization for rotary endodontic files: An in vitro study. Journal of Dr. NTR University of Health Sciences. 2016 Apr 1;5(2):142.</w:t>
            </w:r>
          </w:p>
        </w:tc>
        <w:tc>
          <w:tcPr>
            <w:tcW w:w="433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II</w:t>
            </w:r>
          </w:p>
        </w:tc>
        <w:tc>
          <w:tcPr>
            <w:tcW w:w="463" w:type="pct"/>
            <w:vAlign w:val="center"/>
          </w:tcPr>
          <w:p w:rsidR="003F5DEC" w:rsidRPr="00AB7B93" w:rsidRDefault="00344F9D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  <w:r w:rsidRPr="00344F9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2016</w:t>
            </w:r>
          </w:p>
        </w:tc>
        <w:tc>
          <w:tcPr>
            <w:tcW w:w="29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</w:tr>
      <w:tr w:rsidR="003F5DEC" w:rsidRPr="00AB7B93" w:rsidTr="001F551F">
        <w:trPr>
          <w:trHeight w:val="791"/>
        </w:trPr>
        <w:tc>
          <w:tcPr>
            <w:tcW w:w="231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pct"/>
            <w:vAlign w:val="center"/>
          </w:tcPr>
          <w:p w:rsidR="003F5DEC" w:rsidRPr="00AB7B93" w:rsidRDefault="006A3CA4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8F8"/>
              </w:rPr>
              <w:t>Evaluation of the efficacy of caries removal using polymer bur, stainless steel bur, Carisolv, Papacarie–An invitro comparative study. Journal of clinical and diagnostic research: JCDR. 2015 Jul;9(7):ZC42.</w:t>
            </w:r>
          </w:p>
        </w:tc>
        <w:tc>
          <w:tcPr>
            <w:tcW w:w="433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463" w:type="pct"/>
            <w:vAlign w:val="center"/>
          </w:tcPr>
          <w:p w:rsidR="003F5DEC" w:rsidRPr="00AB7B93" w:rsidRDefault="00344F9D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Pr="00344F9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2015</w:t>
            </w:r>
          </w:p>
        </w:tc>
        <w:tc>
          <w:tcPr>
            <w:tcW w:w="29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5DEC" w:rsidRPr="00AB7B93" w:rsidTr="001F551F">
        <w:trPr>
          <w:trHeight w:val="758"/>
        </w:trPr>
        <w:tc>
          <w:tcPr>
            <w:tcW w:w="231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pct"/>
            <w:vAlign w:val="center"/>
          </w:tcPr>
          <w:p w:rsidR="003F5DEC" w:rsidRPr="00AB7B93" w:rsidRDefault="006A3CA4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8F8"/>
              </w:rPr>
              <w:t xml:space="preserve"> Comparative evaluation of Shear bond strength of different Pit and fissure Sealants in Primary and Permanent teeth-An In-Vitro Study. Journal of international oral health: JIOH. 2014 Apr;6(2):84.</w:t>
            </w:r>
          </w:p>
        </w:tc>
        <w:tc>
          <w:tcPr>
            <w:tcW w:w="433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463" w:type="pct"/>
            <w:vAlign w:val="center"/>
          </w:tcPr>
          <w:p w:rsidR="003F5DEC" w:rsidRPr="00AB7B93" w:rsidRDefault="00344F9D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  <w:r w:rsidRPr="00344F9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29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5DEC" w:rsidRPr="00AB7B93" w:rsidTr="001F551F">
        <w:trPr>
          <w:trHeight w:val="791"/>
        </w:trPr>
        <w:tc>
          <w:tcPr>
            <w:tcW w:w="231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pct"/>
            <w:vAlign w:val="center"/>
          </w:tcPr>
          <w:p w:rsidR="003F5DEC" w:rsidRPr="00AB7B93" w:rsidRDefault="006A3CA4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8F8"/>
              </w:rPr>
              <w:t xml:space="preserve"> Forensic dentistry: A pedodontist's perspective. Journal of Medicine, Radiology, Pathology and Surgery. 2015 Mar 1;1(2):8-14.</w:t>
            </w:r>
          </w:p>
        </w:tc>
        <w:tc>
          <w:tcPr>
            <w:tcW w:w="433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463" w:type="pct"/>
            <w:vAlign w:val="center"/>
          </w:tcPr>
          <w:p w:rsidR="003F5DEC" w:rsidRPr="00AB7B93" w:rsidRDefault="00344F9D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Pr="00344F9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2015</w:t>
            </w:r>
          </w:p>
        </w:tc>
        <w:tc>
          <w:tcPr>
            <w:tcW w:w="29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5DEC" w:rsidRPr="00AB7B93" w:rsidTr="001F551F">
        <w:trPr>
          <w:trHeight w:val="791"/>
        </w:trPr>
        <w:tc>
          <w:tcPr>
            <w:tcW w:w="231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pct"/>
            <w:vAlign w:val="center"/>
          </w:tcPr>
          <w:p w:rsidR="003F5DEC" w:rsidRPr="00AB7B93" w:rsidRDefault="006A3CA4" w:rsidP="00AB7B93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Cs/>
                <w:sz w:val="24"/>
                <w:szCs w:val="24"/>
              </w:rPr>
              <w:t>Compound compositeodontome associated with animpacted primary &amp; permanent incisor – A rarity. J</w:t>
            </w:r>
            <w:r w:rsidR="003F5DEC" w:rsidRPr="00AB7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Andhra Pradesh State IDA.</w:t>
            </w:r>
          </w:p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III</w:t>
            </w:r>
          </w:p>
        </w:tc>
        <w:tc>
          <w:tcPr>
            <w:tcW w:w="463" w:type="pct"/>
            <w:vAlign w:val="center"/>
          </w:tcPr>
          <w:p w:rsidR="003F5DEC" w:rsidRPr="00AB7B93" w:rsidRDefault="00344F9D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  <w:r w:rsidRPr="00344F9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2009</w:t>
            </w:r>
          </w:p>
        </w:tc>
        <w:tc>
          <w:tcPr>
            <w:tcW w:w="29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</w:tr>
      <w:tr w:rsidR="003F5DEC" w:rsidRPr="00AB7B93" w:rsidTr="00AB7B93">
        <w:trPr>
          <w:trHeight w:val="606"/>
        </w:trPr>
        <w:tc>
          <w:tcPr>
            <w:tcW w:w="231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pct"/>
            <w:vAlign w:val="center"/>
          </w:tcPr>
          <w:p w:rsidR="006A3CA4" w:rsidRPr="00AB7B93" w:rsidRDefault="006A3CA4" w:rsidP="009C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Cs/>
                <w:sz w:val="24"/>
                <w:szCs w:val="24"/>
              </w:rPr>
              <w:t>Treacher Collins syndrome- Case report and review of literature [A.P. State Dental journal volume 2 Issue 4 oct- Dec2009. P-38-41.</w:t>
            </w:r>
          </w:p>
          <w:p w:rsidR="003F5DEC" w:rsidRPr="00AB7B93" w:rsidRDefault="003F5DEC" w:rsidP="009C7202">
            <w:pPr>
              <w:autoSpaceDE w:val="0"/>
              <w:autoSpaceDN w:val="0"/>
              <w:adjustRightInd w:val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III</w:t>
            </w:r>
          </w:p>
        </w:tc>
        <w:tc>
          <w:tcPr>
            <w:tcW w:w="463" w:type="pct"/>
            <w:vAlign w:val="center"/>
          </w:tcPr>
          <w:p w:rsidR="003F5DEC" w:rsidRPr="00AB7B93" w:rsidRDefault="00344F9D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  <w:r w:rsidRPr="00344F9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2009</w:t>
            </w:r>
          </w:p>
        </w:tc>
        <w:tc>
          <w:tcPr>
            <w:tcW w:w="29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</w:tr>
      <w:tr w:rsidR="003F5DEC" w:rsidRPr="00AB7B93" w:rsidTr="00AB7B93">
        <w:trPr>
          <w:trHeight w:val="576"/>
        </w:trPr>
        <w:tc>
          <w:tcPr>
            <w:tcW w:w="231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3F5DEC" w:rsidRPr="00AB7B93" w:rsidRDefault="003F5DEC" w:rsidP="00AB7B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pct"/>
            <w:vAlign w:val="center"/>
          </w:tcPr>
          <w:p w:rsidR="006A3CA4" w:rsidRPr="00AB7B93" w:rsidRDefault="006A3CA4" w:rsidP="009C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7B93">
              <w:rPr>
                <w:rFonts w:ascii="Times New Roman" w:hAnsi="Times New Roman" w:cs="Times New Roman"/>
                <w:bCs/>
                <w:sz w:val="24"/>
                <w:szCs w:val="24"/>
              </w:rPr>
              <w:t>Hemisection as an alternative treatment for grossly decayed mandibular multirooted molar in children. [J Andhra Pradesh State IDA].</w:t>
            </w:r>
          </w:p>
          <w:p w:rsidR="003F5DEC" w:rsidRPr="00AB7B93" w:rsidRDefault="003F5DEC" w:rsidP="009C720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III</w:t>
            </w:r>
          </w:p>
        </w:tc>
        <w:tc>
          <w:tcPr>
            <w:tcW w:w="463" w:type="pct"/>
            <w:vAlign w:val="center"/>
          </w:tcPr>
          <w:p w:rsidR="003F5DEC" w:rsidRPr="00AB7B93" w:rsidRDefault="00344F9D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  <w:r w:rsidRPr="00344F9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295" w:type="pct"/>
            <w:vAlign w:val="center"/>
          </w:tcPr>
          <w:p w:rsidR="003F5DEC" w:rsidRPr="00AB7B93" w:rsidRDefault="003F5DEC" w:rsidP="00AB7B9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B7B9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</w:tr>
      <w:tr w:rsidR="001F551F" w:rsidRPr="00AB7B93" w:rsidTr="00FF050F">
        <w:trPr>
          <w:trHeight w:hRule="exact" w:val="640"/>
        </w:trPr>
        <w:tc>
          <w:tcPr>
            <w:tcW w:w="4705" w:type="pct"/>
            <w:gridSpan w:val="6"/>
            <w:vAlign w:val="center"/>
          </w:tcPr>
          <w:p w:rsidR="001F551F" w:rsidRPr="009C7202" w:rsidRDefault="001F551F" w:rsidP="00AB7B9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C72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Total Points</w:t>
            </w:r>
          </w:p>
        </w:tc>
        <w:tc>
          <w:tcPr>
            <w:tcW w:w="295" w:type="pct"/>
            <w:vAlign w:val="center"/>
          </w:tcPr>
          <w:p w:rsidR="001F551F" w:rsidRPr="009C7202" w:rsidRDefault="009C7202" w:rsidP="00AB7B9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C72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100</w:t>
            </w:r>
          </w:p>
        </w:tc>
      </w:tr>
    </w:tbl>
    <w:p w:rsidR="00C07D99" w:rsidRPr="003F5DEC" w:rsidRDefault="00C07D99" w:rsidP="003F5DEC">
      <w:pPr>
        <w:pStyle w:val="NoSpacing"/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C07D99" w:rsidRPr="003F5DEC" w:rsidSect="003F5DEC">
      <w:pgSz w:w="16834" w:h="11909" w:orient="landscape" w:code="9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HelveticaNeue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B278E"/>
    <w:multiLevelType w:val="multilevel"/>
    <w:tmpl w:val="28CB27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AC5012"/>
    <w:rsid w:val="001F551F"/>
    <w:rsid w:val="00344F9D"/>
    <w:rsid w:val="003F5DEC"/>
    <w:rsid w:val="00594B0D"/>
    <w:rsid w:val="006A3CA4"/>
    <w:rsid w:val="009C7202"/>
    <w:rsid w:val="00AB7B93"/>
    <w:rsid w:val="00AC5012"/>
    <w:rsid w:val="00C02E68"/>
    <w:rsid w:val="00C07D99"/>
    <w:rsid w:val="00D01177"/>
    <w:rsid w:val="00FF050F"/>
    <w:rsid w:val="2C6F6D42"/>
    <w:rsid w:val="703B0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D99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7D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94B0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fontstyle01">
    <w:name w:val="fontstyle01"/>
    <w:basedOn w:val="DefaultParagraphFont"/>
    <w:rsid w:val="006A3CA4"/>
    <w:rPr>
      <w:rFonts w:ascii="HelveticaNeue-Light" w:hAnsi="HelveticaNeue-Light" w:hint="default"/>
      <w:b w:val="0"/>
      <w:bCs w:val="0"/>
      <w:i w:val="0"/>
      <w:iCs w:val="0"/>
      <w:color w:val="204C9A"/>
      <w:sz w:val="50"/>
      <w:szCs w:val="5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D99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7D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94B0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fontstyle01">
    <w:name w:val="fontstyle01"/>
    <w:basedOn w:val="DefaultParagraphFont"/>
    <w:rsid w:val="006A3CA4"/>
    <w:rPr>
      <w:rFonts w:ascii="HelveticaNeue-Light" w:hAnsi="HelveticaNeue-Light" w:hint="default"/>
      <w:b w:val="0"/>
      <w:bCs w:val="0"/>
      <w:i w:val="0"/>
      <w:iCs w:val="0"/>
      <w:color w:val="204C9A"/>
      <w:sz w:val="50"/>
      <w:szCs w:val="5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india</dc:creator>
  <cp:lastModifiedBy>office</cp:lastModifiedBy>
  <cp:revision>4</cp:revision>
  <cp:lastPrinted>2020-03-12T05:57:00Z</cp:lastPrinted>
  <dcterms:created xsi:type="dcterms:W3CDTF">2020-04-23T07:52:00Z</dcterms:created>
  <dcterms:modified xsi:type="dcterms:W3CDTF">2020-04-23T09:38:00Z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2057-11.2.0.9232</vt:lpwstr>
  </property>
</Properties>
</file>