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694" w:type="pct"/>
        <w:jc w:val="center"/>
        <w:tblInd w:w="-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479"/>
        <w:gridCol w:w="1530"/>
        <w:gridCol w:w="4086"/>
        <w:gridCol w:w="1069"/>
        <w:gridCol w:w="1266"/>
        <w:gridCol w:w="1278"/>
        <w:gridCol w:w="818"/>
      </w:tblGrid>
      <w:tr w:rsidR="0091768F" w:rsidTr="0091768F">
        <w:trPr>
          <w:trHeight w:val="720"/>
          <w:jc w:val="center"/>
        </w:trPr>
        <w:tc>
          <w:tcPr>
            <w:tcW w:w="22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0F1" w:rsidRPr="001E11F3" w:rsidRDefault="00E800F1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S</w:t>
            </w:r>
            <w:r w:rsidR="00D1786F">
              <w:rPr>
                <w:rStyle w:val="CharAttribute7"/>
                <w:rFonts w:ascii="Arial Narrow" w:hAnsi="Arial Narrow"/>
                <w:b/>
                <w:szCs w:val="24"/>
              </w:rPr>
              <w:t>l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.</w:t>
            </w:r>
            <w:r w:rsidR="00D1786F">
              <w:rPr>
                <w:rStyle w:val="CharAttribute7"/>
                <w:rFonts w:ascii="Arial Narrow" w:hAnsi="Arial Narrow"/>
                <w:b/>
                <w:szCs w:val="24"/>
              </w:rPr>
              <w:t xml:space="preserve"> 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No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0F1" w:rsidRPr="001E11F3" w:rsidRDefault="00E800F1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Faculty name &amp; Designation</w:t>
            </w:r>
          </w:p>
        </w:tc>
        <w:tc>
          <w:tcPr>
            <w:tcW w:w="1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0F1" w:rsidRPr="001E11F3" w:rsidRDefault="00E800F1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Name of the Journal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0F1" w:rsidRPr="001E11F3" w:rsidRDefault="00E800F1" w:rsidP="00C9680B">
            <w:pPr>
              <w:pStyle w:val="ParaAttribute39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Category</w:t>
            </w:r>
          </w:p>
          <w:p w:rsidR="00E800F1" w:rsidRPr="001E11F3" w:rsidRDefault="00E800F1" w:rsidP="00C9680B">
            <w:pPr>
              <w:pStyle w:val="ParaAttribute39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I / II / III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0F1" w:rsidRPr="001E11F3" w:rsidRDefault="00E800F1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Authorship (1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st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/2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nd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/3</w:t>
            </w:r>
            <w:r w:rsidRPr="001E11F3">
              <w:rPr>
                <w:rStyle w:val="CharAttribute13"/>
                <w:rFonts w:ascii="Arial Narrow" w:hAnsi="Arial Narrow"/>
                <w:b/>
                <w:szCs w:val="24"/>
              </w:rPr>
              <w:t>rd</w:t>
            </w: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)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0F1" w:rsidRPr="001E11F3" w:rsidRDefault="00E800F1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Year of Publication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0F1" w:rsidRPr="001E11F3" w:rsidRDefault="00E800F1" w:rsidP="00C9680B">
            <w:pPr>
              <w:pStyle w:val="ParaAttribute28"/>
              <w:spacing w:after="0"/>
              <w:rPr>
                <w:rFonts w:ascii="Arial Narrow" w:hAnsi="Arial Narrow"/>
                <w:b/>
              </w:rPr>
            </w:pPr>
            <w:r w:rsidRPr="001E11F3">
              <w:rPr>
                <w:rStyle w:val="CharAttribute7"/>
                <w:rFonts w:ascii="Arial Narrow" w:hAnsi="Arial Narrow"/>
                <w:b/>
                <w:szCs w:val="24"/>
              </w:rPr>
              <w:t>Points</w:t>
            </w:r>
          </w:p>
        </w:tc>
      </w:tr>
      <w:tr w:rsidR="0091768F" w:rsidTr="0091768F">
        <w:trPr>
          <w:trHeight w:val="720"/>
          <w:jc w:val="center"/>
        </w:trPr>
        <w:tc>
          <w:tcPr>
            <w:tcW w:w="22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C14CF3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5.</w:t>
            </w:r>
          </w:p>
        </w:tc>
        <w:tc>
          <w:tcPr>
            <w:tcW w:w="72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C32DDB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b/>
                <w:sz w:val="22"/>
              </w:rPr>
            </w:pPr>
            <w:r w:rsidRPr="00C32DDB">
              <w:rPr>
                <w:rFonts w:ascii="Arial Narrow" w:hAnsi="Arial Narrow"/>
                <w:b/>
                <w:sz w:val="22"/>
              </w:rPr>
              <w:t>Dr. B Indira Priyadarshini</w:t>
            </w:r>
          </w:p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Reader</w:t>
            </w:r>
          </w:p>
        </w:tc>
        <w:tc>
          <w:tcPr>
            <w:tcW w:w="1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1F1D97" w:rsidRDefault="00E800F1" w:rsidP="00C3262B">
            <w:pPr>
              <w:pStyle w:val="ListParagraph"/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Priyadarshini BI, Jayaprakash T, Nagesh B, Sunil CR, Sujana V, Deepa VL. One year comparative evaluation of Ketac Nano with resin-modified glass ionome cement and Giomer in non-carious cervical lesions:</w:t>
            </w:r>
            <w:r w:rsidRPr="001F1D97">
              <w:rPr>
                <w:rFonts w:ascii="Times New Roman"/>
                <w:sz w:val="24"/>
                <w:szCs w:val="24"/>
              </w:rPr>
              <w:t xml:space="preserve"> A </w:t>
            </w:r>
            <w:r>
              <w:rPr>
                <w:rFonts w:ascii="Times New Roman"/>
                <w:sz w:val="24"/>
                <w:szCs w:val="24"/>
              </w:rPr>
              <w:t>randomized clinical trial</w:t>
            </w:r>
            <w:r w:rsidRPr="001F1D97">
              <w:rPr>
                <w:rFonts w:ascii="Times New Roman"/>
                <w:sz w:val="24"/>
                <w:szCs w:val="24"/>
              </w:rPr>
              <w:t>.</w:t>
            </w:r>
            <w:r>
              <w:rPr>
                <w:rFonts w:ascii="Times New Roman"/>
                <w:sz w:val="24"/>
                <w:szCs w:val="24"/>
              </w:rPr>
              <w:t xml:space="preserve"> J Conserv Dent 2017;20:204-9.</w:t>
            </w:r>
            <w:r w:rsidRPr="001F1D97">
              <w:rPr>
                <w:rFonts w:ascii="Times New Roman"/>
                <w:sz w:val="24"/>
                <w:szCs w:val="24"/>
              </w:rPr>
              <w:t xml:space="preserve">  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91768F" w:rsidTr="0091768F">
        <w:trPr>
          <w:trHeight w:val="720"/>
          <w:jc w:val="center"/>
        </w:trPr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1F1D97" w:rsidRDefault="00E800F1" w:rsidP="00C3262B">
            <w:pPr>
              <w:pStyle w:val="ListParagraph"/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Ballullaya SV, Vinay V,Thumu J, Devalla S, Bollu IP, Balla S. </w:t>
            </w:r>
            <w:r w:rsidRPr="001F1D97">
              <w:rPr>
                <w:rFonts w:ascii="Times New Roman"/>
                <w:sz w:val="24"/>
                <w:szCs w:val="24"/>
              </w:rPr>
              <w:t>Stereoscopic dye leakage measurement of six different</w:t>
            </w:r>
            <w:r>
              <w:rPr>
                <w:rFonts w:ascii="Times New Roman"/>
                <w:sz w:val="24"/>
                <w:szCs w:val="24"/>
              </w:rPr>
              <w:t xml:space="preserve"> root canal sealers. J Clin and Diagn</w:t>
            </w:r>
            <w:r w:rsidRPr="001F1D97">
              <w:rPr>
                <w:rFonts w:ascii="Times New Roman"/>
                <w:sz w:val="24"/>
                <w:szCs w:val="24"/>
              </w:rPr>
              <w:t xml:space="preserve"> Res</w:t>
            </w:r>
            <w:r>
              <w:rPr>
                <w:rFonts w:ascii="Times New Roman"/>
                <w:sz w:val="24"/>
                <w:szCs w:val="24"/>
              </w:rPr>
              <w:t>. 2017;11(6):ZC65-8.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2017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91768F" w:rsidTr="0091768F">
        <w:trPr>
          <w:trHeight w:val="720"/>
          <w:jc w:val="center"/>
        </w:trPr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822313" w:rsidRDefault="00E800F1" w:rsidP="0082231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/>
                <w:sz w:val="24"/>
                <w:szCs w:val="16"/>
              </w:rPr>
            </w:pPr>
            <w:r w:rsidRPr="00822313">
              <w:rPr>
                <w:rFonts w:ascii="Times New Roman"/>
                <w:sz w:val="24"/>
                <w:szCs w:val="16"/>
              </w:rPr>
              <w:t>Shekar K, Binoy D, Reddy BVR, Chandra CR, Reddy S, Priyadharshini BI. Collaborative endodontic and surgical management of a type II dens invaginatus: One year follow-up. Int J Case Rep Images 2016;7(11):738–744.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6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5</w:t>
            </w:r>
          </w:p>
        </w:tc>
      </w:tr>
      <w:tr w:rsidR="0091768F" w:rsidTr="0091768F">
        <w:trPr>
          <w:trHeight w:val="720"/>
          <w:jc w:val="center"/>
        </w:trPr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822313" w:rsidRDefault="00E800F1" w:rsidP="0082231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/>
                <w:sz w:val="24"/>
                <w:szCs w:val="16"/>
              </w:rPr>
            </w:pPr>
            <w:r w:rsidRPr="00822313">
              <w:rPr>
                <w:rFonts w:ascii="Times New Roman"/>
                <w:sz w:val="24"/>
                <w:szCs w:val="16"/>
              </w:rPr>
              <w:t>Bollu IP, Velagula L D, Bolla N, Kumar K K, Hari A, Thumu J. Histological evaluation of mineral trioxide aggregate and enamel matrix derivative combination in direct pulp capping: An </w:t>
            </w:r>
            <w:r w:rsidRPr="00822313">
              <w:rPr>
                <w:rFonts w:ascii="Times New Roman"/>
                <w:iCs/>
                <w:sz w:val="24"/>
                <w:szCs w:val="16"/>
              </w:rPr>
              <w:t>in vivo</w:t>
            </w:r>
            <w:r w:rsidRPr="00822313">
              <w:rPr>
                <w:rFonts w:ascii="Times New Roman"/>
                <w:sz w:val="24"/>
                <w:szCs w:val="16"/>
              </w:rPr>
              <w:t> study. J Conserv Dent 2016;19:536-40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</w:tbl>
    <w:p w:rsidR="0091768F" w:rsidRDefault="0091768F">
      <w:r>
        <w:br w:type="page"/>
      </w:r>
    </w:p>
    <w:tbl>
      <w:tblPr>
        <w:tblW w:w="5694" w:type="pct"/>
        <w:jc w:val="center"/>
        <w:tblInd w:w="-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481"/>
        <w:gridCol w:w="1530"/>
        <w:gridCol w:w="4086"/>
        <w:gridCol w:w="1069"/>
        <w:gridCol w:w="1265"/>
        <w:gridCol w:w="1278"/>
        <w:gridCol w:w="817"/>
      </w:tblGrid>
      <w:tr w:rsidR="0091768F" w:rsidTr="0091768F">
        <w:trPr>
          <w:trHeight w:val="720"/>
          <w:jc w:val="center"/>
        </w:trPr>
        <w:tc>
          <w:tcPr>
            <w:tcW w:w="228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27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1F1D97" w:rsidRDefault="00E800F1" w:rsidP="00C3262B">
            <w:pPr>
              <w:pStyle w:val="ListParagraph"/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 xml:space="preserve">Bollu IP, Hari A, Thumu J, Velagula LD, Bolla N, Varri S, Kasaraneni S, Nalli SV. </w:t>
            </w:r>
            <w:r w:rsidRPr="001F1D97">
              <w:rPr>
                <w:rFonts w:ascii="Times New Roman"/>
                <w:sz w:val="24"/>
                <w:szCs w:val="24"/>
              </w:rPr>
              <w:t>Comparative evaluation of microleakage between nanoionomer, Giomer and Resin modified glass ionomer cement in class V cavities – CLSM Study. J Clin Diag Res</w:t>
            </w:r>
            <w:r>
              <w:rPr>
                <w:rFonts w:ascii="Times New Roman"/>
                <w:sz w:val="24"/>
                <w:szCs w:val="24"/>
              </w:rPr>
              <w:t xml:space="preserve"> 2016;10(5):ZC66-70</w:t>
            </w:r>
            <w:r w:rsidRPr="001F1D97">
              <w:rPr>
                <w:rFonts w:ascii="Times New Roman"/>
                <w:sz w:val="24"/>
                <w:szCs w:val="24"/>
              </w:rPr>
              <w:t>.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91768F" w:rsidTr="0091768F">
        <w:trPr>
          <w:trHeight w:val="720"/>
          <w:jc w:val="center"/>
        </w:trPr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986426" w:rsidRDefault="00E800F1" w:rsidP="00C3262B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/>
                <w:sz w:val="24"/>
                <w:szCs w:val="24"/>
              </w:rPr>
            </w:pPr>
            <w:r w:rsidRPr="00986426">
              <w:rPr>
                <w:rFonts w:ascii="Times New Roman"/>
                <w:sz w:val="24"/>
                <w:szCs w:val="18"/>
              </w:rPr>
              <w:t>Deepa VL, Bollu IP, Dhamaraju B, Yadla P. Detection and management of a complex canal configuration in mesiobuccal root of maxillary first molar using three dimensional imaging. </w:t>
            </w:r>
            <w:r>
              <w:rPr>
                <w:rFonts w:ascii="Times New Roman"/>
                <w:iCs/>
                <w:sz w:val="24"/>
                <w:szCs w:val="18"/>
              </w:rPr>
              <w:t xml:space="preserve">J Int Soc Prev Community </w:t>
            </w:r>
            <w:r w:rsidRPr="00986426">
              <w:rPr>
                <w:rFonts w:ascii="Times New Roman"/>
                <w:iCs/>
                <w:sz w:val="24"/>
                <w:szCs w:val="18"/>
              </w:rPr>
              <w:t>Dent</w:t>
            </w:r>
            <w:r>
              <w:rPr>
                <w:rFonts w:ascii="Times New Roman"/>
                <w:sz w:val="24"/>
                <w:szCs w:val="18"/>
              </w:rPr>
              <w:t>.</w:t>
            </w:r>
            <w:r w:rsidRPr="00986426">
              <w:rPr>
                <w:rFonts w:ascii="Times New Roman"/>
                <w:sz w:val="24"/>
                <w:szCs w:val="18"/>
              </w:rPr>
              <w:t>2016;6(1):S75-8.</w:t>
            </w:r>
            <w:r w:rsidRPr="00986426">
              <w:rPr>
                <w:rFonts w:ascii="Times New Roman"/>
                <w:sz w:val="24"/>
                <w:szCs w:val="24"/>
              </w:rPr>
              <w:t xml:space="preserve"> 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05</w:t>
            </w:r>
          </w:p>
        </w:tc>
      </w:tr>
      <w:tr w:rsidR="0091768F" w:rsidTr="0091768F">
        <w:trPr>
          <w:trHeight w:val="720"/>
          <w:jc w:val="center"/>
        </w:trPr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986426" w:rsidRDefault="00E800F1" w:rsidP="00986426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/>
                <w:sz w:val="24"/>
                <w:szCs w:val="16"/>
              </w:rPr>
            </w:pPr>
            <w:r w:rsidRPr="00986426">
              <w:rPr>
                <w:rFonts w:ascii="Times New Roman"/>
                <w:sz w:val="24"/>
                <w:szCs w:val="16"/>
              </w:rPr>
              <w:t>Deepa VL, Dhamaraju B, Bollu IP, Balaji TS. Shear bond strength evaluation of resin composite bonded to three different liners: TheraCal LC, Biodentine, and resin-modified glass ionomer cement using universal adhesive: An </w:t>
            </w:r>
            <w:r w:rsidRPr="00986426">
              <w:rPr>
                <w:rFonts w:ascii="Times New Roman"/>
                <w:iCs/>
                <w:sz w:val="24"/>
                <w:szCs w:val="16"/>
              </w:rPr>
              <w:t>in vitro</w:t>
            </w:r>
            <w:r w:rsidRPr="00986426">
              <w:rPr>
                <w:rFonts w:ascii="Times New Roman"/>
                <w:sz w:val="24"/>
                <w:szCs w:val="16"/>
              </w:rPr>
              <w:t> study. J Conserv Dent 2016;19:166-70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3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2016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91768F" w:rsidTr="0091768F">
        <w:trPr>
          <w:trHeight w:val="720"/>
          <w:jc w:val="center"/>
        </w:trPr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1F1D97" w:rsidRDefault="00E800F1" w:rsidP="00C3262B">
            <w:pPr>
              <w:pStyle w:val="ListParagraph"/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/>
                <w:sz w:val="24"/>
                <w:szCs w:val="24"/>
              </w:rPr>
            </w:pPr>
            <w:r w:rsidRPr="00986426">
              <w:rPr>
                <w:rFonts w:ascii="Times New Roman"/>
                <w:sz w:val="24"/>
                <w:szCs w:val="18"/>
                <w:shd w:val="clear" w:color="auto" w:fill="FFFFFF"/>
              </w:rPr>
              <w:t>Kadiyala A, Saladi HK, Bollu IP, Burla D, Ballullaya SV, Devalla S, Maroli S, Jayaprakash T. Effect of Different Anti-Oxidants on Shear Bond Strength of Composite Resins to Bleached Human Enamel. </w:t>
            </w:r>
            <w:r w:rsidRPr="00986426">
              <w:rPr>
                <w:rFonts w:ascii="Times New Roman"/>
                <w:iCs/>
                <w:sz w:val="24"/>
                <w:szCs w:val="18"/>
                <w:shd w:val="clear" w:color="auto" w:fill="FFFFFF"/>
              </w:rPr>
              <w:t>J Clin Diagn Res</w:t>
            </w:r>
            <w:r w:rsidRPr="00986426">
              <w:rPr>
                <w:rFonts w:ascii="Times New Roman"/>
                <w:sz w:val="24"/>
                <w:szCs w:val="18"/>
                <w:shd w:val="clear" w:color="auto" w:fill="FFFFFF"/>
              </w:rPr>
              <w:t>. 2015 Nov;9(11):ZC40-3</w:t>
            </w:r>
            <w:r>
              <w:rPr>
                <w:rFonts w:ascii="Times New Roman"/>
                <w:sz w:val="24"/>
                <w:szCs w:val="18"/>
                <w:shd w:val="clear" w:color="auto" w:fill="FFFFFF"/>
              </w:rPr>
              <w:t>.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3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2015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91768F" w:rsidTr="0091768F">
        <w:trPr>
          <w:trHeight w:hRule="exact" w:val="2125"/>
          <w:jc w:val="center"/>
        </w:trPr>
        <w:tc>
          <w:tcPr>
            <w:tcW w:w="228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1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986426" w:rsidRDefault="00E800F1" w:rsidP="001F1D97">
            <w:pPr>
              <w:pStyle w:val="ListParagraph"/>
              <w:numPr>
                <w:ilvl w:val="0"/>
                <w:numId w:val="1"/>
              </w:numPr>
              <w:spacing w:after="200" w:line="360" w:lineRule="auto"/>
              <w:contextualSpacing/>
              <w:rPr>
                <w:rFonts w:ascii="Times New Roman"/>
                <w:sz w:val="24"/>
                <w:szCs w:val="24"/>
              </w:rPr>
            </w:pPr>
            <w:r w:rsidRPr="00986426">
              <w:rPr>
                <w:rFonts w:ascii="Times New Roman"/>
                <w:sz w:val="24"/>
                <w:szCs w:val="18"/>
                <w:shd w:val="clear" w:color="auto" w:fill="FFFFFF"/>
              </w:rPr>
              <w:t xml:space="preserve">Deepa VL, Damaraju B, Priyadharsini BI, Subbarao VV, Raju KR. Comparative Evaluation of Microshear Bond Strength of 5(th), </w:t>
            </w:r>
            <w:r w:rsidR="000F402A" w:rsidRPr="000F402A">
              <w:rPr>
                <w:rFonts w:ascii="Times New Roman"/>
                <w:noProof/>
                <w:sz w:val="24"/>
                <w:szCs w:val="18"/>
                <w:lang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114.7pt;margin-top:-602.95pt;width:108.7pt;height:.7pt;flip:y;z-index:251658240;mso-position-horizontal-relative:text;mso-position-vertical-relative:text" o:connectortype="straight"/>
              </w:pict>
            </w:r>
            <w:r w:rsidRPr="00986426">
              <w:rPr>
                <w:rFonts w:ascii="Times New Roman"/>
                <w:sz w:val="24"/>
                <w:szCs w:val="18"/>
                <w:shd w:val="clear" w:color="auto" w:fill="FFFFFF"/>
              </w:rPr>
              <w:t>6(th) and 7(th) Generation Bonding Agents to Coronal Dentin Versus Dentin at Floor of Pulp Chamber: An In vitro Study. </w:t>
            </w:r>
            <w:r w:rsidRPr="00986426">
              <w:rPr>
                <w:rFonts w:ascii="Times New Roman"/>
                <w:iCs/>
                <w:sz w:val="24"/>
                <w:szCs w:val="18"/>
                <w:shd w:val="clear" w:color="auto" w:fill="FFFFFF"/>
              </w:rPr>
              <w:t>J Int Oral Health</w:t>
            </w:r>
            <w:r w:rsidRPr="00986426">
              <w:rPr>
                <w:rFonts w:ascii="Times New Roman"/>
                <w:sz w:val="24"/>
                <w:szCs w:val="18"/>
                <w:shd w:val="clear" w:color="auto" w:fill="FFFFFF"/>
              </w:rPr>
              <w:t>. 2014;6(5):72–76.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I</w:t>
            </w:r>
          </w:p>
        </w:tc>
        <w:tc>
          <w:tcPr>
            <w:tcW w:w="6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3</w:t>
            </w:r>
          </w:p>
        </w:tc>
        <w:tc>
          <w:tcPr>
            <w:tcW w:w="6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2014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Default="00E800F1" w:rsidP="00C3262B">
            <w:pPr>
              <w:pStyle w:val="ParaAttribute10"/>
              <w:spacing w:before="120" w:line="276" w:lineRule="auto"/>
              <w:jc w:val="center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15</w:t>
            </w:r>
          </w:p>
        </w:tc>
      </w:tr>
      <w:tr w:rsidR="0091768F" w:rsidRPr="00C63693" w:rsidTr="0091768F">
        <w:trPr>
          <w:trHeight w:val="720"/>
          <w:jc w:val="center"/>
        </w:trPr>
        <w:tc>
          <w:tcPr>
            <w:tcW w:w="22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7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00F1" w:rsidRPr="00B916B1" w:rsidRDefault="00E800F1" w:rsidP="003143A7">
            <w:pPr>
              <w:pStyle w:val="ParaAttribute10"/>
              <w:spacing w:line="276" w:lineRule="auto"/>
              <w:rPr>
                <w:rFonts w:ascii="Arial Narrow" w:hAnsi="Arial Narrow"/>
                <w:sz w:val="22"/>
              </w:rPr>
            </w:pPr>
          </w:p>
        </w:tc>
        <w:tc>
          <w:tcPr>
            <w:tcW w:w="36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0F1" w:rsidRDefault="00C3262B" w:rsidP="00C3262B">
            <w:pPr>
              <w:pStyle w:val="ParaAttribute10"/>
              <w:spacing w:line="276" w:lineRule="auto"/>
              <w:jc w:val="righ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b/>
                <w:sz w:val="22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E800F1" w:rsidRPr="00C63693">
              <w:rPr>
                <w:rFonts w:ascii="Arial Narrow" w:hAnsi="Arial Narrow"/>
                <w:b/>
                <w:sz w:val="22"/>
                <w:szCs w:val="24"/>
              </w:rPr>
              <w:t>TOTAL</w:t>
            </w:r>
          </w:p>
        </w:tc>
        <w:tc>
          <w:tcPr>
            <w:tcW w:w="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0F1" w:rsidRPr="00C63693" w:rsidRDefault="00E800F1" w:rsidP="00C3262B">
            <w:pPr>
              <w:pStyle w:val="ParaAttribute10"/>
              <w:spacing w:line="276" w:lineRule="auto"/>
              <w:jc w:val="right"/>
              <w:rPr>
                <w:rFonts w:ascii="Arial Narrow" w:hAnsi="Arial Narrow"/>
                <w:b/>
                <w:sz w:val="22"/>
              </w:rPr>
            </w:pPr>
            <w:r w:rsidRPr="00C63693">
              <w:rPr>
                <w:rFonts w:ascii="Arial Narrow" w:hAnsi="Arial Narrow"/>
                <w:b/>
                <w:sz w:val="22"/>
              </w:rPr>
              <w:t>115</w:t>
            </w:r>
          </w:p>
        </w:tc>
      </w:tr>
    </w:tbl>
    <w:p w:rsidR="005B6160" w:rsidRDefault="005B6160"/>
    <w:sectPr w:rsidR="005B6160" w:rsidSect="003910B9">
      <w:footerReference w:type="default" r:id="rId7"/>
      <w:pgSz w:w="11907" w:h="16839" w:code="9"/>
      <w:pgMar w:top="126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6AD" w:rsidRDefault="00B826AD" w:rsidP="001F1D97">
      <w:pPr>
        <w:spacing w:after="0" w:line="240" w:lineRule="auto"/>
      </w:pPr>
      <w:r>
        <w:separator/>
      </w:r>
    </w:p>
  </w:endnote>
  <w:endnote w:type="continuationSeparator" w:id="1">
    <w:p w:rsidR="00B826AD" w:rsidRDefault="00B826AD" w:rsidP="001F1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D97" w:rsidRPr="001F1D97" w:rsidRDefault="001F1D97">
    <w:pPr>
      <w:pStyle w:val="Footer"/>
      <w:rPr>
        <w:rFonts w:ascii="Arial Narrow" w:hAnsi="Arial Narrow"/>
        <w:b/>
        <w:sz w:val="24"/>
      </w:rPr>
    </w:pPr>
    <w:r>
      <w:rPr>
        <w:rFonts w:ascii="Arial Narrow" w:hAnsi="Arial Narrow"/>
        <w:b/>
        <w:sz w:val="24"/>
      </w:rPr>
      <w:t>Inspector (1)</w:t>
    </w:r>
    <w:r w:rsidRPr="001F1D97">
      <w:rPr>
        <w:rFonts w:ascii="Arial Narrow" w:hAnsi="Arial Narrow"/>
        <w:b/>
        <w:sz w:val="24"/>
      </w:rPr>
      <w:ptab w:relativeTo="margin" w:alignment="center" w:leader="none"/>
    </w:r>
    <w:r w:rsidRPr="001F1D97">
      <w:rPr>
        <w:rFonts w:ascii="Arial Narrow" w:hAnsi="Arial Narrow"/>
        <w:b/>
        <w:sz w:val="24"/>
      </w:rPr>
      <w:ptab w:relativeTo="margin" w:alignment="right" w:leader="none"/>
    </w:r>
    <w:r>
      <w:rPr>
        <w:rFonts w:ascii="Arial Narrow" w:hAnsi="Arial Narrow"/>
        <w:b/>
        <w:sz w:val="24"/>
      </w:rPr>
      <w:t>Inspector (2)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6AD" w:rsidRDefault="00B826AD" w:rsidP="001F1D97">
      <w:pPr>
        <w:spacing w:after="0" w:line="240" w:lineRule="auto"/>
      </w:pPr>
      <w:r>
        <w:separator/>
      </w:r>
    </w:p>
  </w:footnote>
  <w:footnote w:type="continuationSeparator" w:id="1">
    <w:p w:rsidR="00B826AD" w:rsidRDefault="00B826AD" w:rsidP="001F1D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A23E2"/>
    <w:multiLevelType w:val="hybridMultilevel"/>
    <w:tmpl w:val="596846CC"/>
    <w:lvl w:ilvl="0" w:tplc="ACA4B41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86E93"/>
    <w:multiLevelType w:val="hybridMultilevel"/>
    <w:tmpl w:val="34FADD4E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1EC9"/>
    <w:rsid w:val="000F402A"/>
    <w:rsid w:val="0012100B"/>
    <w:rsid w:val="001800B4"/>
    <w:rsid w:val="001F1D97"/>
    <w:rsid w:val="0024182A"/>
    <w:rsid w:val="003910B9"/>
    <w:rsid w:val="003B724E"/>
    <w:rsid w:val="004C1EC9"/>
    <w:rsid w:val="005B6160"/>
    <w:rsid w:val="006B77A7"/>
    <w:rsid w:val="00744FD8"/>
    <w:rsid w:val="007F1D53"/>
    <w:rsid w:val="00822313"/>
    <w:rsid w:val="0085735F"/>
    <w:rsid w:val="0091768F"/>
    <w:rsid w:val="00986426"/>
    <w:rsid w:val="009C3F21"/>
    <w:rsid w:val="00A44AA2"/>
    <w:rsid w:val="00AB0D5A"/>
    <w:rsid w:val="00B826AD"/>
    <w:rsid w:val="00B9291A"/>
    <w:rsid w:val="00BD0E55"/>
    <w:rsid w:val="00C14CF3"/>
    <w:rsid w:val="00C3262B"/>
    <w:rsid w:val="00C5431D"/>
    <w:rsid w:val="00CE5027"/>
    <w:rsid w:val="00D1786F"/>
    <w:rsid w:val="00D767B4"/>
    <w:rsid w:val="00DB55C0"/>
    <w:rsid w:val="00E453A4"/>
    <w:rsid w:val="00E800F1"/>
    <w:rsid w:val="00F6656B"/>
    <w:rsid w:val="00FD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1EC9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Attribute10">
    <w:name w:val="ParaAttribute10"/>
    <w:rsid w:val="004C1EC9"/>
    <w:pPr>
      <w:spacing w:line="240" w:lineRule="auto"/>
    </w:pPr>
    <w:rPr>
      <w:rFonts w:ascii="Times New Roman" w:eastAsia="Batang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C1EC9"/>
    <w:pPr>
      <w:widowControl w:val="0"/>
      <w:wordWrap w:val="0"/>
      <w:autoSpaceDE w:val="0"/>
      <w:autoSpaceDN w:val="0"/>
      <w:spacing w:after="0" w:line="240" w:lineRule="auto"/>
      <w:ind w:left="400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paragraph" w:styleId="Header">
    <w:name w:val="header"/>
    <w:basedOn w:val="Normal"/>
    <w:link w:val="HeaderChar"/>
    <w:uiPriority w:val="99"/>
    <w:semiHidden/>
    <w:unhideWhenUsed/>
    <w:rsid w:val="001F1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1D97"/>
    <w:rPr>
      <w:lang w:val="en-IN"/>
    </w:rPr>
  </w:style>
  <w:style w:type="paragraph" w:styleId="Footer">
    <w:name w:val="footer"/>
    <w:basedOn w:val="Normal"/>
    <w:link w:val="FooterChar"/>
    <w:uiPriority w:val="99"/>
    <w:semiHidden/>
    <w:unhideWhenUsed/>
    <w:rsid w:val="001F1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1D97"/>
    <w:rPr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1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D97"/>
    <w:rPr>
      <w:rFonts w:ascii="Tahoma" w:hAnsi="Tahoma" w:cs="Tahoma"/>
      <w:sz w:val="16"/>
      <w:szCs w:val="16"/>
      <w:lang w:val="en-IN"/>
    </w:rPr>
  </w:style>
  <w:style w:type="character" w:customStyle="1" w:styleId="CharAttribute7">
    <w:name w:val="CharAttribute7"/>
    <w:rsid w:val="00E800F1"/>
    <w:rPr>
      <w:rFonts w:ascii="Arial" w:eastAsia="Calibri"/>
      <w:sz w:val="24"/>
    </w:rPr>
  </w:style>
  <w:style w:type="paragraph" w:customStyle="1" w:styleId="ParaAttribute28">
    <w:name w:val="ParaAttribute28"/>
    <w:rsid w:val="00E800F1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paragraph" w:customStyle="1" w:styleId="ParaAttribute39">
    <w:name w:val="ParaAttribute39"/>
    <w:rsid w:val="00E800F1"/>
    <w:pPr>
      <w:spacing w:line="240" w:lineRule="auto"/>
      <w:jc w:val="center"/>
    </w:pPr>
    <w:rPr>
      <w:rFonts w:ascii="Times New Roman" w:eastAsia="Batang" w:hAnsi="Times New Roman" w:cs="Times New Roman"/>
      <w:sz w:val="20"/>
      <w:szCs w:val="20"/>
    </w:rPr>
  </w:style>
  <w:style w:type="character" w:customStyle="1" w:styleId="CharAttribute13">
    <w:name w:val="CharAttribute13"/>
    <w:rsid w:val="00E800F1"/>
    <w:rPr>
      <w:rFonts w:ascii="Arial" w:eastAsia="Calibri"/>
      <w:sz w:val="24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5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office</cp:lastModifiedBy>
  <cp:revision>12</cp:revision>
  <cp:lastPrinted>2021-04-16T06:25:00Z</cp:lastPrinted>
  <dcterms:created xsi:type="dcterms:W3CDTF">2019-07-24T18:22:00Z</dcterms:created>
  <dcterms:modified xsi:type="dcterms:W3CDTF">2021-04-16T06:25:00Z</dcterms:modified>
</cp:coreProperties>
</file>