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55" w:type="dxa"/>
        <w:jc w:val="center"/>
        <w:tblInd w:w="-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812"/>
        <w:gridCol w:w="1629"/>
        <w:gridCol w:w="3643"/>
        <w:gridCol w:w="1069"/>
        <w:gridCol w:w="1407"/>
        <w:gridCol w:w="1407"/>
        <w:gridCol w:w="888"/>
      </w:tblGrid>
      <w:tr w:rsidR="005C09CE" w:rsidRPr="001E11F3" w:rsidTr="00937C78">
        <w:trPr>
          <w:trHeight w:val="890"/>
          <w:jc w:val="center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09CE" w:rsidRPr="001E11F3" w:rsidRDefault="005C09CE" w:rsidP="003143A7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S.No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09CE" w:rsidRPr="001E11F3" w:rsidRDefault="005C09CE" w:rsidP="003143A7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Faculty name &amp; Designation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09CE" w:rsidRPr="001E11F3" w:rsidRDefault="005C09CE" w:rsidP="00D95EC4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Name of the Journal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09CE" w:rsidRPr="001E11F3" w:rsidRDefault="005C09CE" w:rsidP="003143A7">
            <w:pPr>
              <w:pStyle w:val="ParaAttribute39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Category</w:t>
            </w:r>
          </w:p>
          <w:p w:rsidR="005C09CE" w:rsidRPr="001E11F3" w:rsidRDefault="005C09CE" w:rsidP="003143A7">
            <w:pPr>
              <w:pStyle w:val="ParaAttribute39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I / II / III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09CE" w:rsidRPr="001E11F3" w:rsidRDefault="005C09CE" w:rsidP="003143A7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Authorship (1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st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/2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nd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/3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rd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09CE" w:rsidRPr="001E11F3" w:rsidRDefault="005C09CE" w:rsidP="003143A7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Year of Publication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09CE" w:rsidRPr="001E11F3" w:rsidRDefault="005C09CE" w:rsidP="003143A7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Points</w:t>
            </w:r>
          </w:p>
        </w:tc>
      </w:tr>
      <w:tr w:rsidR="005C09CE" w:rsidRPr="00B916B1" w:rsidTr="00937C78">
        <w:trPr>
          <w:trHeight w:val="2510"/>
          <w:jc w:val="center"/>
        </w:trPr>
        <w:tc>
          <w:tcPr>
            <w:tcW w:w="8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1.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4462BC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b/>
                <w:sz w:val="22"/>
              </w:rPr>
            </w:pPr>
            <w:r w:rsidRPr="004462BC">
              <w:rPr>
                <w:rFonts w:ascii="Arial Narrow" w:hAnsi="Arial Narrow"/>
                <w:b/>
                <w:sz w:val="22"/>
              </w:rPr>
              <w:t>Dr. Pushpa S</w:t>
            </w:r>
          </w:p>
          <w:p w:rsidR="005C09CE" w:rsidRPr="00B916B1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Professor &amp; HOD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F561C4" w:rsidRDefault="00140043" w:rsidP="00D95EC4">
            <w:pPr>
              <w:pStyle w:val="ParaAttribute10"/>
              <w:numPr>
                <w:ilvl w:val="0"/>
                <w:numId w:val="2"/>
              </w:numPr>
              <w:spacing w:after="0"/>
              <w:ind w:left="360"/>
              <w:jc w:val="both"/>
              <w:rPr>
                <w:sz w:val="24"/>
              </w:rPr>
            </w:pPr>
            <w:r w:rsidRPr="00DF3B4D">
              <w:rPr>
                <w:sz w:val="24"/>
              </w:rPr>
              <w:t>Pushpa S, Maheshwari C, Maheshwari G, Sridevi N, Duggal P, Ahuja P. Effect of pH on solubility of white Mineral Trioxide Aggregate and Biodentine: An in vitro study.</w:t>
            </w:r>
            <w:r w:rsidR="007A44B2">
              <w:rPr>
                <w:sz w:val="24"/>
              </w:rPr>
              <w:t xml:space="preserve"> </w:t>
            </w:r>
            <w:r w:rsidR="00910938">
              <w:rPr>
                <w:iCs/>
                <w:sz w:val="24"/>
              </w:rPr>
              <w:t xml:space="preserve">J </w:t>
            </w:r>
            <w:r w:rsidR="007A44B2">
              <w:rPr>
                <w:iCs/>
                <w:sz w:val="24"/>
              </w:rPr>
              <w:t>Dent Res Dent Clin Dent</w:t>
            </w:r>
            <w:r w:rsidRPr="00F561C4">
              <w:rPr>
                <w:iCs/>
                <w:sz w:val="24"/>
              </w:rPr>
              <w:t>Prospects</w:t>
            </w:r>
            <w:r w:rsidRPr="00F561C4">
              <w:rPr>
                <w:sz w:val="24"/>
              </w:rPr>
              <w:t>2018;12(3):201–207.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247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  <w:p w:rsidR="00240247" w:rsidRDefault="00240247" w:rsidP="00240247">
            <w:pPr>
              <w:rPr>
                <w:lang w:val="en-US"/>
              </w:rPr>
            </w:pPr>
          </w:p>
          <w:p w:rsidR="005C09CE" w:rsidRPr="00240247" w:rsidRDefault="005C09CE" w:rsidP="00240247">
            <w:pPr>
              <w:jc w:val="center"/>
              <w:rPr>
                <w:lang w:val="en-US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2018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5C09CE" w:rsidRPr="00B916B1" w:rsidTr="00937C78">
        <w:trPr>
          <w:trHeight w:val="74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6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DF3B4D" w:rsidRDefault="00140043" w:rsidP="00D95EC4">
            <w:pPr>
              <w:pStyle w:val="ParaAttribute10"/>
              <w:numPr>
                <w:ilvl w:val="0"/>
                <w:numId w:val="2"/>
              </w:numPr>
              <w:spacing w:after="0"/>
              <w:ind w:left="360"/>
              <w:jc w:val="both"/>
              <w:rPr>
                <w:sz w:val="24"/>
              </w:rPr>
            </w:pPr>
            <w:r w:rsidRPr="00DF3B4D">
              <w:rPr>
                <w:sz w:val="24"/>
              </w:rPr>
              <w:t xml:space="preserve">Mohammad A, Ballullaya SV, Thumu J, Maroli S, Shankarappa P. Effect of ultrasonic activation of photosensitizer dye temoporfin (Foscan) on antimicrobial photodynamic therapy: An </w:t>
            </w:r>
            <w:r w:rsidRPr="00DF3B4D">
              <w:rPr>
                <w:iCs/>
                <w:sz w:val="24"/>
              </w:rPr>
              <w:t>ex vivo</w:t>
            </w:r>
            <w:r w:rsidRPr="00DF3B4D">
              <w:rPr>
                <w:sz w:val="24"/>
              </w:rPr>
              <w:t xml:space="preserve"> study. </w:t>
            </w:r>
            <w:r w:rsidRPr="00DF3B4D">
              <w:rPr>
                <w:iCs/>
                <w:sz w:val="24"/>
              </w:rPr>
              <w:t>J Conserv Dent</w:t>
            </w:r>
            <w:r w:rsidRPr="00DF3B4D">
              <w:rPr>
                <w:sz w:val="24"/>
              </w:rPr>
              <w:t xml:space="preserve">. 2017;20(6):419–423.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5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2017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5C09CE" w:rsidRPr="00B916B1" w:rsidTr="00937C78">
        <w:trPr>
          <w:trHeight w:val="2537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6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DF3B4D" w:rsidRDefault="004F263B" w:rsidP="00D95EC4">
            <w:pPr>
              <w:pStyle w:val="ParaAttribute10"/>
              <w:numPr>
                <w:ilvl w:val="0"/>
                <w:numId w:val="2"/>
              </w:numPr>
              <w:spacing w:after="0"/>
              <w:ind w:left="360"/>
              <w:jc w:val="both"/>
              <w:rPr>
                <w:sz w:val="24"/>
              </w:rPr>
            </w:pPr>
            <w:r w:rsidRPr="00DF3B4D">
              <w:rPr>
                <w:sz w:val="24"/>
              </w:rPr>
              <w:t xml:space="preserve">Singh R, Pushpa S, Arunagiri D, Sawhny A, Misra A, Sujatha R. The effect of irrigating solutions on the apical sealing ability of MTA Fillapex and Adseal root canal sealers. </w:t>
            </w:r>
            <w:r w:rsidRPr="00DF3B4D">
              <w:rPr>
                <w:iCs/>
                <w:sz w:val="24"/>
              </w:rPr>
              <w:t>J Dent Res Dent Clin Dent Prospects</w:t>
            </w:r>
            <w:r w:rsidRPr="00DF3B4D">
              <w:rPr>
                <w:sz w:val="24"/>
              </w:rPr>
              <w:t xml:space="preserve">. 2016;10(4):251–256.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5C09CE" w:rsidRPr="00B916B1" w:rsidTr="00937C78">
        <w:trPr>
          <w:trHeight w:val="74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6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DF3B4D" w:rsidRDefault="004F263B" w:rsidP="00D95EC4">
            <w:pPr>
              <w:pStyle w:val="ParaAttribute10"/>
              <w:numPr>
                <w:ilvl w:val="0"/>
                <w:numId w:val="2"/>
              </w:numPr>
              <w:spacing w:after="0"/>
              <w:ind w:left="360"/>
              <w:jc w:val="both"/>
              <w:rPr>
                <w:sz w:val="24"/>
              </w:rPr>
            </w:pPr>
            <w:r w:rsidRPr="00DF3B4D">
              <w:rPr>
                <w:sz w:val="24"/>
              </w:rPr>
              <w:t xml:space="preserve">Ashraf F, Shankarappa P, Misra A, Sawhney A, Sridevi N, Singh A. A Stereomicroscopic Evaluation of Dentinal Cracks at Different Instrumentation Lengths by Using Different Rotary Files (ProTaper Universal, ProTaper Next, and HyFlex CM): An Ex Vivo Study. </w:t>
            </w:r>
            <w:r w:rsidRPr="00DF3B4D">
              <w:rPr>
                <w:iCs/>
                <w:sz w:val="24"/>
              </w:rPr>
              <w:t>Scientifica (Cairo)</w:t>
            </w:r>
            <w:r w:rsidR="00910938">
              <w:rPr>
                <w:sz w:val="24"/>
              </w:rPr>
              <w:t>. 2016</w:t>
            </w:r>
            <w:r w:rsidRPr="00DF3B4D">
              <w:rPr>
                <w:sz w:val="24"/>
              </w:rPr>
              <w:t xml:space="preserve">:8379865.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5C09CE" w:rsidRPr="00B916B1" w:rsidTr="00937C78">
        <w:trPr>
          <w:trHeight w:val="74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6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DF3B4D" w:rsidRDefault="004F263B" w:rsidP="00D95EC4">
            <w:pPr>
              <w:pStyle w:val="ParaAttribute10"/>
              <w:numPr>
                <w:ilvl w:val="0"/>
                <w:numId w:val="2"/>
              </w:numPr>
              <w:spacing w:after="0"/>
              <w:ind w:left="360"/>
              <w:jc w:val="both"/>
              <w:rPr>
                <w:sz w:val="24"/>
              </w:rPr>
            </w:pPr>
            <w:r w:rsidRPr="00DF3B4D">
              <w:rPr>
                <w:sz w:val="24"/>
              </w:rPr>
              <w:t xml:space="preserve">Dua N, Kumar B, Arunagiri D, Iqbal M, Pushpa S, Hussain J. Comparative evaluation of the effect of different crown ferrule designs on the fracture resistance of endodontically </w:t>
            </w:r>
            <w:r w:rsidRPr="00DF3B4D">
              <w:rPr>
                <w:sz w:val="24"/>
              </w:rPr>
              <w:lastRenderedPageBreak/>
              <w:t xml:space="preserve">treated mandibular premolars restored with fiber posts, composite cores, and crowns: An ex-vivo study. </w:t>
            </w:r>
            <w:r w:rsidRPr="00DF3B4D">
              <w:rPr>
                <w:iCs/>
                <w:sz w:val="24"/>
              </w:rPr>
              <w:t>J Conserv Dent</w:t>
            </w:r>
            <w:r w:rsidRPr="00DF3B4D">
              <w:rPr>
                <w:sz w:val="24"/>
              </w:rPr>
              <w:t xml:space="preserve">. 2016;19(3):264–269.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lastRenderedPageBreak/>
              <w:t>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5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5C09CE" w:rsidRPr="00B916B1" w:rsidTr="00937C78">
        <w:trPr>
          <w:trHeight w:val="74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6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FD42C1" w:rsidRDefault="002358D8" w:rsidP="00D95EC4">
            <w:pPr>
              <w:pStyle w:val="ListParagraph"/>
              <w:numPr>
                <w:ilvl w:val="0"/>
                <w:numId w:val="2"/>
              </w:numPr>
              <w:wordWrap/>
              <w:ind w:left="360"/>
              <w:rPr>
                <w:rFonts w:ascii="Times New Roman" w:eastAsia="Times New Roman"/>
                <w:color w:val="000000"/>
                <w:sz w:val="24"/>
              </w:rPr>
            </w:pPr>
            <w:r w:rsidRPr="00FD42C1">
              <w:rPr>
                <w:rFonts w:ascii="Times New Roman" w:eastAsia="Times New Roman"/>
                <w:color w:val="000000"/>
                <w:sz w:val="24"/>
              </w:rPr>
              <w:t>Singh A, Arunagiri D, Pushpa S,    Sawhny A, Misra A, Khetan K. Apical  extrusion of debris and irrigants using ProTaper hand, M-two rotary and WaveOne single filereciprocating system: An ex vivo study. J Conserv Dent. 2015 Sep-Oct;18(5):405-8.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3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5C09CE" w:rsidRPr="00B916B1" w:rsidTr="00937C78">
        <w:trPr>
          <w:trHeight w:val="74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6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FD42C1" w:rsidRDefault="004F263B" w:rsidP="00D95EC4">
            <w:pPr>
              <w:pStyle w:val="ParaAttribute10"/>
              <w:numPr>
                <w:ilvl w:val="0"/>
                <w:numId w:val="2"/>
              </w:numPr>
              <w:spacing w:after="0"/>
              <w:ind w:left="360"/>
              <w:jc w:val="both"/>
              <w:rPr>
                <w:sz w:val="24"/>
              </w:rPr>
            </w:pPr>
            <w:r w:rsidRPr="00FD42C1">
              <w:rPr>
                <w:sz w:val="24"/>
              </w:rPr>
              <w:t xml:space="preserve">Prasad A, Pushpa S, Arunagiri D, Sawhny A, Misra A, Sujatha R. A comparative evaluation of the effect of various additives on selected physical properties of white mineral trioxide aggregate. </w:t>
            </w:r>
            <w:r w:rsidRPr="00FD42C1">
              <w:rPr>
                <w:iCs/>
                <w:sz w:val="24"/>
              </w:rPr>
              <w:t>J Conserv Dent</w:t>
            </w:r>
            <w:r w:rsidRPr="00FD42C1">
              <w:rPr>
                <w:sz w:val="24"/>
              </w:rPr>
              <w:t xml:space="preserve">. 2015;18(3):237–241.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5C09CE" w:rsidRPr="00B916B1" w:rsidTr="00937C78">
        <w:trPr>
          <w:trHeight w:val="2501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6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FD42C1" w:rsidRDefault="005C09CE" w:rsidP="00D95EC4">
            <w:pPr>
              <w:pStyle w:val="ListParagraph"/>
              <w:numPr>
                <w:ilvl w:val="0"/>
                <w:numId w:val="2"/>
              </w:numPr>
              <w:wordWrap/>
              <w:ind w:left="360"/>
              <w:contextualSpacing/>
              <w:rPr>
                <w:rFonts w:ascii="Times New Roman"/>
                <w:sz w:val="24"/>
              </w:rPr>
            </w:pPr>
            <w:r w:rsidRPr="00FD42C1">
              <w:rPr>
                <w:rFonts w:ascii="Times New Roman"/>
                <w:bCs/>
                <w:sz w:val="24"/>
              </w:rPr>
              <w:t xml:space="preserve">An ex vivo comparative evaluation of the fracture resistance of </w:t>
            </w:r>
            <w:r w:rsidR="00BB7949" w:rsidRPr="00FD42C1">
              <w:rPr>
                <w:rFonts w:ascii="Times New Roman"/>
                <w:bCs/>
                <w:sz w:val="24"/>
              </w:rPr>
              <w:t xml:space="preserve">endodontically </w:t>
            </w:r>
            <w:r w:rsidRPr="00FD42C1">
              <w:rPr>
                <w:rFonts w:ascii="Times New Roman"/>
                <w:bCs/>
                <w:sz w:val="24"/>
              </w:rPr>
              <w:t>treated teeth obturated with guttapercha using four different sealers</w:t>
            </w:r>
            <w:r w:rsidRPr="00FD42C1">
              <w:rPr>
                <w:rFonts w:ascii="Times New Roman"/>
                <w:sz w:val="24"/>
              </w:rPr>
              <w:t>. University J Dent Scie 2015;1(2):2-6. An official publication of Aligarh Muslim University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4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10</w:t>
            </w:r>
          </w:p>
        </w:tc>
      </w:tr>
      <w:tr w:rsidR="005C09CE" w:rsidRPr="00B916B1" w:rsidTr="00937C78">
        <w:trPr>
          <w:trHeight w:val="74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6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FD42C1" w:rsidRDefault="005C09CE" w:rsidP="00D95EC4">
            <w:pPr>
              <w:pStyle w:val="ParaAttribute10"/>
              <w:numPr>
                <w:ilvl w:val="0"/>
                <w:numId w:val="2"/>
              </w:numPr>
              <w:spacing w:after="0"/>
              <w:ind w:left="360"/>
              <w:jc w:val="both"/>
              <w:rPr>
                <w:sz w:val="24"/>
              </w:rPr>
            </w:pPr>
            <w:r w:rsidRPr="00FD42C1">
              <w:rPr>
                <w:bCs/>
                <w:iCs/>
                <w:sz w:val="24"/>
              </w:rPr>
              <w:t>Dentin Bonding Agents- Current Status: An Update-</w:t>
            </w:r>
            <w:r w:rsidRPr="00FD42C1">
              <w:rPr>
                <w:iCs/>
                <w:sz w:val="24"/>
              </w:rPr>
              <w:t xml:space="preserve"> Journal of Dental Research and Updates, An official Publication of Rama University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III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05</w:t>
            </w:r>
          </w:p>
        </w:tc>
      </w:tr>
      <w:tr w:rsidR="005C09CE" w:rsidRPr="00B916B1" w:rsidTr="00937C78">
        <w:trPr>
          <w:trHeight w:val="74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6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FD42C1" w:rsidRDefault="005C09CE" w:rsidP="00D95EC4">
            <w:pPr>
              <w:pStyle w:val="ListParagraph"/>
              <w:numPr>
                <w:ilvl w:val="0"/>
                <w:numId w:val="2"/>
              </w:numPr>
              <w:wordWrap/>
              <w:ind w:left="360"/>
              <w:contextualSpacing/>
              <w:rPr>
                <w:rFonts w:ascii="Times New Roman"/>
                <w:sz w:val="24"/>
              </w:rPr>
            </w:pPr>
            <w:r w:rsidRPr="00FD42C1">
              <w:rPr>
                <w:rFonts w:ascii="Times New Roman"/>
                <w:bCs/>
                <w:sz w:val="24"/>
              </w:rPr>
              <w:t>The Mystical Morinda</w:t>
            </w:r>
            <w:r w:rsidRPr="00FD42C1">
              <w:rPr>
                <w:rFonts w:ascii="Times New Roman"/>
                <w:sz w:val="24"/>
              </w:rPr>
              <w:t>- Guident, Aug 2013.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III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2013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C09CE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05</w:t>
            </w:r>
          </w:p>
        </w:tc>
      </w:tr>
      <w:tr w:rsidR="00937C78" w:rsidRPr="00B916B1" w:rsidTr="00937C78">
        <w:trPr>
          <w:trHeight w:val="74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37C78" w:rsidRDefault="00937C7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6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37C78" w:rsidRDefault="00937C78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C78" w:rsidRPr="00FD42C1" w:rsidRDefault="00937C78" w:rsidP="00E06EF7">
            <w:pPr>
              <w:pStyle w:val="ListParagraph"/>
              <w:numPr>
                <w:ilvl w:val="0"/>
                <w:numId w:val="2"/>
              </w:numPr>
              <w:wordWrap/>
              <w:ind w:left="360"/>
              <w:contextualSpacing/>
              <w:rPr>
                <w:rFonts w:ascii="Times New Roman"/>
                <w:sz w:val="24"/>
              </w:rPr>
            </w:pPr>
            <w:r w:rsidRPr="00FD42C1">
              <w:rPr>
                <w:rFonts w:ascii="Times New Roman"/>
                <w:bCs/>
                <w:sz w:val="24"/>
              </w:rPr>
              <w:t>Prion disease: dental implications</w:t>
            </w:r>
            <w:r>
              <w:rPr>
                <w:rFonts w:ascii="Times New Roman"/>
                <w:bCs/>
                <w:sz w:val="24"/>
              </w:rPr>
              <w:t xml:space="preserve"> </w:t>
            </w:r>
            <w:r w:rsidRPr="00FD42C1">
              <w:rPr>
                <w:rFonts w:ascii="Times New Roman"/>
                <w:bCs/>
                <w:sz w:val="24"/>
              </w:rPr>
              <w:t>-</w:t>
            </w:r>
            <w:r>
              <w:rPr>
                <w:rFonts w:ascii="Times New Roman"/>
                <w:bCs/>
                <w:sz w:val="24"/>
              </w:rPr>
              <w:t xml:space="preserve"> </w:t>
            </w:r>
            <w:r w:rsidRPr="00FD42C1">
              <w:rPr>
                <w:rFonts w:ascii="Times New Roman"/>
                <w:sz w:val="24"/>
              </w:rPr>
              <w:t>Journal of Clinical &amp; Research in Dentistry, The Official Publication of Magadh University, May 2013.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C78" w:rsidRPr="00B916B1" w:rsidRDefault="00937C78" w:rsidP="00E06EF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C78" w:rsidRPr="00B916B1" w:rsidRDefault="00937C78" w:rsidP="00E06EF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C78" w:rsidRPr="00B916B1" w:rsidRDefault="00937C78" w:rsidP="00E06EF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2013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C78" w:rsidRPr="00B916B1" w:rsidRDefault="00937C78" w:rsidP="00E06EF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10</w:t>
            </w:r>
          </w:p>
        </w:tc>
      </w:tr>
      <w:tr w:rsidR="005C09CE" w:rsidRPr="00B916B1" w:rsidTr="00937C78">
        <w:trPr>
          <w:trHeight w:val="74"/>
          <w:jc w:val="center"/>
        </w:trPr>
        <w:tc>
          <w:tcPr>
            <w:tcW w:w="81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62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FD42C1" w:rsidRDefault="00937C78" w:rsidP="00D95EC4">
            <w:pPr>
              <w:pStyle w:val="ListParagraph"/>
              <w:numPr>
                <w:ilvl w:val="0"/>
                <w:numId w:val="2"/>
              </w:numPr>
              <w:wordWrap/>
              <w:ind w:left="360"/>
              <w:contextualSpacing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Evaluation and Comparison of Caries Excavation Efficacy of Three Different Burs: A Micro-computed Tomographic-assisted study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7560D1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937C78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3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523A57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2020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Pr="00B916B1" w:rsidRDefault="00427F01" w:rsidP="003143A7">
            <w:pPr>
              <w:pStyle w:val="ParaAttribute10"/>
              <w:spacing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5C09CE" w:rsidRPr="00E05C6A" w:rsidTr="00937C78">
        <w:trPr>
          <w:trHeight w:val="440"/>
          <w:jc w:val="center"/>
        </w:trPr>
        <w:tc>
          <w:tcPr>
            <w:tcW w:w="8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FD42C1">
            <w:pPr>
              <w:pStyle w:val="ParaAttribute10"/>
              <w:spacing w:before="240"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6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9CE" w:rsidRDefault="005C09CE" w:rsidP="00FD42C1">
            <w:pPr>
              <w:pStyle w:val="ParaAttribute10"/>
              <w:spacing w:before="240" w:line="360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09CE" w:rsidRDefault="00D95EC4" w:rsidP="00D95EC4">
            <w:pPr>
              <w:pStyle w:val="ParaAttribute10"/>
              <w:spacing w:after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b/>
                <w:bCs/>
                <w:szCs w:val="24"/>
              </w:rPr>
              <w:t xml:space="preserve">                                                                                                                                    </w:t>
            </w:r>
            <w:r w:rsidR="005C09CE" w:rsidRPr="00E05C6A">
              <w:rPr>
                <w:rFonts w:ascii="Arial Narrow" w:hAnsi="Arial Narrow"/>
                <w:b/>
                <w:bCs/>
                <w:szCs w:val="24"/>
              </w:rPr>
              <w:t>TOTAL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09CE" w:rsidRPr="00E05C6A" w:rsidRDefault="005C09CE" w:rsidP="00427F01">
            <w:pPr>
              <w:pStyle w:val="ParaAttribute10"/>
              <w:spacing w:after="0"/>
              <w:jc w:val="center"/>
              <w:rPr>
                <w:rFonts w:ascii="Arial Narrow" w:hAnsi="Arial Narrow"/>
                <w:b/>
                <w:sz w:val="22"/>
              </w:rPr>
            </w:pPr>
            <w:r w:rsidRPr="00E05C6A">
              <w:rPr>
                <w:rFonts w:ascii="Arial Narrow" w:hAnsi="Arial Narrow"/>
                <w:b/>
                <w:sz w:val="22"/>
              </w:rPr>
              <w:t>1</w:t>
            </w:r>
            <w:r w:rsidR="00427F01">
              <w:rPr>
                <w:rFonts w:ascii="Arial Narrow" w:hAnsi="Arial Narrow"/>
                <w:b/>
                <w:sz w:val="22"/>
              </w:rPr>
              <w:t>45</w:t>
            </w:r>
          </w:p>
        </w:tc>
      </w:tr>
    </w:tbl>
    <w:p w:rsidR="00487E9A" w:rsidRDefault="00487E9A" w:rsidP="00FD42C1">
      <w:pPr>
        <w:spacing w:before="240" w:line="360" w:lineRule="auto"/>
      </w:pPr>
    </w:p>
    <w:p w:rsidR="0012100B" w:rsidRDefault="0012100B" w:rsidP="00FD42C1">
      <w:pPr>
        <w:spacing w:before="240" w:line="360" w:lineRule="auto"/>
      </w:pPr>
    </w:p>
    <w:sectPr w:rsidR="0012100B" w:rsidSect="00240247">
      <w:footerReference w:type="default" r:id="rId7"/>
      <w:headerReference w:type="first" r:id="rId8"/>
      <w:footerReference w:type="first" r:id="rId9"/>
      <w:pgSz w:w="11907" w:h="16839" w:code="9"/>
      <w:pgMar w:top="117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B5F" w:rsidRDefault="00775B5F" w:rsidP="00BD5310">
      <w:pPr>
        <w:spacing w:after="0" w:line="240" w:lineRule="auto"/>
      </w:pPr>
      <w:r>
        <w:separator/>
      </w:r>
    </w:p>
  </w:endnote>
  <w:endnote w:type="continuationSeparator" w:id="1">
    <w:p w:rsidR="00775B5F" w:rsidRDefault="00775B5F" w:rsidP="00BD5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310" w:rsidRPr="00BD5310" w:rsidRDefault="00BD5310">
    <w:pPr>
      <w:pStyle w:val="Footer"/>
      <w:rPr>
        <w:rFonts w:ascii="Arial Narrow" w:hAnsi="Arial Narrow"/>
        <w:b/>
        <w:sz w:val="24"/>
      </w:rPr>
    </w:pPr>
    <w:r w:rsidRPr="00BD5310">
      <w:rPr>
        <w:rFonts w:ascii="Arial Narrow" w:hAnsi="Arial Narrow"/>
        <w:b/>
        <w:sz w:val="24"/>
      </w:rPr>
      <w:t>Inspector (1)</w:t>
    </w:r>
    <w:r w:rsidRPr="00BD5310">
      <w:rPr>
        <w:rFonts w:ascii="Arial Narrow" w:hAnsi="Arial Narrow"/>
        <w:b/>
        <w:sz w:val="24"/>
      </w:rPr>
      <w:ptab w:relativeTo="margin" w:alignment="center" w:leader="none"/>
    </w:r>
    <w:r w:rsidRPr="00BD5310">
      <w:rPr>
        <w:rFonts w:ascii="Arial Narrow" w:hAnsi="Arial Narrow"/>
        <w:b/>
        <w:sz w:val="24"/>
      </w:rPr>
      <w:ptab w:relativeTo="margin" w:alignment="right" w:leader="none"/>
    </w:r>
    <w:r w:rsidRPr="00BD5310">
      <w:rPr>
        <w:rFonts w:ascii="Arial Narrow" w:hAnsi="Arial Narrow"/>
        <w:b/>
        <w:sz w:val="24"/>
      </w:rPr>
      <w:t xml:space="preserve">Inspector (2)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9A" w:rsidRPr="00BD5310" w:rsidRDefault="00487E9A" w:rsidP="00487E9A">
    <w:pPr>
      <w:pStyle w:val="Footer"/>
      <w:rPr>
        <w:rFonts w:ascii="Arial Narrow" w:hAnsi="Arial Narrow"/>
        <w:b/>
        <w:sz w:val="24"/>
      </w:rPr>
    </w:pPr>
    <w:r w:rsidRPr="00BD5310">
      <w:rPr>
        <w:rFonts w:ascii="Arial Narrow" w:hAnsi="Arial Narrow"/>
        <w:b/>
        <w:sz w:val="24"/>
      </w:rPr>
      <w:t>Inspector (1)</w:t>
    </w:r>
    <w:r w:rsidRPr="00BD5310">
      <w:rPr>
        <w:rFonts w:ascii="Arial Narrow" w:hAnsi="Arial Narrow"/>
        <w:b/>
        <w:sz w:val="24"/>
      </w:rPr>
      <w:ptab w:relativeTo="margin" w:alignment="center" w:leader="none"/>
    </w:r>
    <w:r w:rsidRPr="00BD5310">
      <w:rPr>
        <w:rFonts w:ascii="Arial Narrow" w:hAnsi="Arial Narrow"/>
        <w:b/>
        <w:sz w:val="24"/>
      </w:rPr>
      <w:ptab w:relativeTo="margin" w:alignment="right" w:leader="none"/>
    </w:r>
    <w:r w:rsidRPr="00BD5310">
      <w:rPr>
        <w:rFonts w:ascii="Arial Narrow" w:hAnsi="Arial Narrow"/>
        <w:b/>
        <w:sz w:val="24"/>
      </w:rPr>
      <w:t xml:space="preserve">Inspector (2) </w:t>
    </w:r>
  </w:p>
  <w:p w:rsidR="00487E9A" w:rsidRPr="00487E9A" w:rsidRDefault="00487E9A" w:rsidP="00487E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B5F" w:rsidRDefault="00775B5F" w:rsidP="00BD5310">
      <w:pPr>
        <w:spacing w:after="0" w:line="240" w:lineRule="auto"/>
      </w:pPr>
      <w:r>
        <w:separator/>
      </w:r>
    </w:p>
  </w:footnote>
  <w:footnote w:type="continuationSeparator" w:id="1">
    <w:p w:rsidR="00775B5F" w:rsidRDefault="00775B5F" w:rsidP="00BD5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47" w:rsidRPr="00240247" w:rsidRDefault="00240247" w:rsidP="00240247">
    <w:pPr>
      <w:pStyle w:val="Body"/>
      <w:jc w:val="center"/>
      <w:rPr>
        <w:rFonts w:ascii="Arial" w:hAnsi="Arial" w:cs="Arial"/>
        <w:b/>
        <w:bCs/>
        <w:sz w:val="24"/>
        <w:szCs w:val="24"/>
        <w:u w:val="single"/>
      </w:rPr>
    </w:pPr>
    <w:r w:rsidRPr="00240247">
      <w:rPr>
        <w:rFonts w:ascii="Arial" w:hAnsi="Arial" w:cs="Arial"/>
        <w:b/>
        <w:bCs/>
        <w:sz w:val="24"/>
        <w:szCs w:val="24"/>
        <w:u w:val="single"/>
      </w:rPr>
      <w:t>DEPARTMENT OF CONSERVATIVE DENTISTRY</w:t>
    </w:r>
  </w:p>
  <w:p w:rsidR="00240247" w:rsidRPr="00240247" w:rsidRDefault="00240247" w:rsidP="00240247">
    <w:pPr>
      <w:pStyle w:val="Body"/>
      <w:rPr>
        <w:rFonts w:ascii="Arial" w:eastAsia="Times New Roman" w:hAnsi="Arial" w:cs="Arial"/>
        <w:b/>
        <w:bCs/>
        <w:sz w:val="24"/>
        <w:szCs w:val="24"/>
      </w:rPr>
    </w:pPr>
    <w:r w:rsidRPr="00240247">
      <w:rPr>
        <w:rFonts w:ascii="Arial" w:hAnsi="Arial" w:cs="Arial"/>
        <w:b/>
        <w:bCs/>
        <w:sz w:val="24"/>
        <w:szCs w:val="24"/>
      </w:rPr>
      <w:t>10. Staff Assessment for Publications: Attached with Teaching experience</w:t>
    </w:r>
  </w:p>
  <w:p w:rsidR="00240247" w:rsidRDefault="0024024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E55CD"/>
    <w:multiLevelType w:val="hybridMultilevel"/>
    <w:tmpl w:val="D048F644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90127A"/>
    <w:multiLevelType w:val="hybridMultilevel"/>
    <w:tmpl w:val="0CE86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09CE"/>
    <w:rsid w:val="00012429"/>
    <w:rsid w:val="00020180"/>
    <w:rsid w:val="00020338"/>
    <w:rsid w:val="00032330"/>
    <w:rsid w:val="000E3E4D"/>
    <w:rsid w:val="0012100B"/>
    <w:rsid w:val="00140043"/>
    <w:rsid w:val="002358D8"/>
    <w:rsid w:val="00240247"/>
    <w:rsid w:val="00423A7C"/>
    <w:rsid w:val="00427F01"/>
    <w:rsid w:val="00487E9A"/>
    <w:rsid w:val="004A1D20"/>
    <w:rsid w:val="004F263B"/>
    <w:rsid w:val="00523A57"/>
    <w:rsid w:val="005838E1"/>
    <w:rsid w:val="005C09CE"/>
    <w:rsid w:val="006C66F5"/>
    <w:rsid w:val="006E51DA"/>
    <w:rsid w:val="007560D1"/>
    <w:rsid w:val="00775B5F"/>
    <w:rsid w:val="00792913"/>
    <w:rsid w:val="007A44B2"/>
    <w:rsid w:val="00853E93"/>
    <w:rsid w:val="00910938"/>
    <w:rsid w:val="00937C78"/>
    <w:rsid w:val="00A43084"/>
    <w:rsid w:val="00A763A8"/>
    <w:rsid w:val="00B61D2B"/>
    <w:rsid w:val="00BB7949"/>
    <w:rsid w:val="00BD1316"/>
    <w:rsid w:val="00BD5310"/>
    <w:rsid w:val="00C01D3B"/>
    <w:rsid w:val="00C2273F"/>
    <w:rsid w:val="00D95EC4"/>
    <w:rsid w:val="00DB2FAE"/>
    <w:rsid w:val="00DF3B4D"/>
    <w:rsid w:val="00E276DC"/>
    <w:rsid w:val="00EC1D31"/>
    <w:rsid w:val="00EF60F4"/>
    <w:rsid w:val="00F561C4"/>
    <w:rsid w:val="00FD42C1"/>
    <w:rsid w:val="00FF5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9CE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ttribute7">
    <w:name w:val="CharAttribute7"/>
    <w:rsid w:val="005C09CE"/>
    <w:rPr>
      <w:rFonts w:ascii="Arial" w:eastAsia="Calibri"/>
      <w:sz w:val="24"/>
    </w:rPr>
  </w:style>
  <w:style w:type="paragraph" w:customStyle="1" w:styleId="ParaAttribute10">
    <w:name w:val="ParaAttribute10"/>
    <w:rsid w:val="005C09CE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C09CE"/>
    <w:pPr>
      <w:widowControl w:val="0"/>
      <w:wordWrap w:val="0"/>
      <w:autoSpaceDE w:val="0"/>
      <w:autoSpaceDN w:val="0"/>
      <w:spacing w:after="0" w:line="240" w:lineRule="auto"/>
      <w:ind w:left="400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paragraph" w:customStyle="1" w:styleId="ParaAttribute28">
    <w:name w:val="ParaAttribute28"/>
    <w:rsid w:val="005C09CE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9">
    <w:name w:val="ParaAttribute39"/>
    <w:rsid w:val="005C09CE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3">
    <w:name w:val="CharAttribute13"/>
    <w:rsid w:val="005C09CE"/>
    <w:rPr>
      <w:rFonts w:ascii="Arial" w:eastAsia="Calibri"/>
      <w:sz w:val="24"/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BD5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5310"/>
    <w:rPr>
      <w:lang w:val="en-IN"/>
    </w:rPr>
  </w:style>
  <w:style w:type="paragraph" w:styleId="Footer">
    <w:name w:val="footer"/>
    <w:basedOn w:val="Normal"/>
    <w:link w:val="FooterChar"/>
    <w:uiPriority w:val="99"/>
    <w:semiHidden/>
    <w:unhideWhenUsed/>
    <w:rsid w:val="00BD5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5310"/>
    <w:rPr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310"/>
    <w:rPr>
      <w:rFonts w:ascii="Tahoma" w:hAnsi="Tahoma" w:cs="Tahoma"/>
      <w:sz w:val="16"/>
      <w:szCs w:val="16"/>
      <w:lang w:val="en-IN"/>
    </w:rPr>
  </w:style>
  <w:style w:type="paragraph" w:customStyle="1" w:styleId="Body">
    <w:name w:val="Body"/>
    <w:rsid w:val="00240247"/>
    <w:rPr>
      <w:rFonts w:ascii="Calibri" w:eastAsia="Calibri" w:hAnsi="Calibri" w:cs="Calibri"/>
      <w:color w:val="000000"/>
      <w:u w:color="000000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office</cp:lastModifiedBy>
  <cp:revision>8</cp:revision>
  <cp:lastPrinted>2019-07-24T20:56:00Z</cp:lastPrinted>
  <dcterms:created xsi:type="dcterms:W3CDTF">2019-07-24T18:09:00Z</dcterms:created>
  <dcterms:modified xsi:type="dcterms:W3CDTF">2020-10-14T14:21:00Z</dcterms:modified>
</cp:coreProperties>
</file>